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FD412" w14:textId="77777777" w:rsidR="0028591C" w:rsidRDefault="0028591C" w:rsidP="0028591C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  <w:r>
        <w:rPr>
          <w:rStyle w:val="Strong"/>
          <w:rFonts w:ascii="Verdana" w:hAnsi="Verdana"/>
          <w:color w:val="000000"/>
          <w:sz w:val="21"/>
          <w:szCs w:val="21"/>
        </w:rPr>
        <w:t>2º Manifesto por Transparência e Garantia de Participação Social nas deliberações do Congresso Nacional durante a pandemia da COVID-19</w:t>
      </w:r>
    </w:p>
    <w:p w14:paraId="56602293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</w:p>
    <w:p w14:paraId="66E763CB" w14:textId="487BF483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Diante da persistência da pandemia da Covid-19 e de todas as consequências advindas dessa situação ao regular funcionamento das instituições no Brasil, a Frente Parlamentar em Defesa da Democracia e dos Direitos Humanos (FDDDH) e as organizações da sociedade civil abaixo, signatárias desta carta, reconhecem a importância de medidas sanitárias contra o avanço da doença, incluindo aquelas adotadas pelas Casas Legislativas do Congresso Nacional desde março de 2020.</w:t>
      </w:r>
    </w:p>
    <w:p w14:paraId="55EC57DC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Desejamos contribuir para o desenvolvimento dos trabalhos legislativos, observando o dever de participação da Sociedade Civil na formulação do arcabouço normativo e regulatório nacional. À vista disso, reafirmamos o 1º Manifesto, encaminhado em 2020, pretendendo a garantia da transparência dos atos legislativos, bem como a acessão da participação social, inclusive no sistema remoto, respeitadas as limitações.</w:t>
      </w:r>
    </w:p>
    <w:p w14:paraId="66F36916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Com o passar dos meses e considerando as medidas já adotadas a fim de regulamentar o andamento do processo legislativo neste período, durante o qual as votações vêm sendo realizadas de forma híbrida e com auxílio do Sistema de Deliberação Remota (especialmente a Resolução n° 14, Ato da Mesa n° 118 e Ato da Mesa n° 123 da Câmara dos Deputados, bem como seus equivalentes do Senado Federal), manifestamos nossa preocupação concernente à participação democrática da sociedade civil nas decisões tomadas pelo Parlamento em nome de toda a sociedade brasileira.</w:t>
      </w:r>
    </w:p>
    <w:p w14:paraId="23136CDA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Reconhecemos o conjunto de canais de participação virtual já em funcionamento nas duas Casas, cuja utilização deve ser potencializada, visando uma escuta ativa do Parlamento acerca dos anseios da população brasileira e consideramos essencial o acesso físico da sociedade civil organizada, considerados os cuidados sanitários e de distanciamento, para que seja garantido o direito da participação social no Congresso Nacional. Porém </w:t>
      </w:r>
      <w:r>
        <w:rPr>
          <w:rStyle w:val="Strong"/>
          <w:rFonts w:ascii="Verdana" w:hAnsi="Verdana"/>
          <w:color w:val="000000"/>
          <w:sz w:val="21"/>
          <w:szCs w:val="21"/>
        </w:rPr>
        <w:t>entendemos como prioritária elaboração de nova normativa que substitua as restrições absolutas contidas na Portaria nº 2, de 26/02/2021, q</w:t>
      </w:r>
      <w:r>
        <w:rPr>
          <w:rStyle w:val="Emphasis"/>
          <w:rFonts w:ascii="Verdana" w:hAnsi="Verdana"/>
          <w:b/>
          <w:bCs/>
          <w:color w:val="000000"/>
          <w:sz w:val="21"/>
          <w:szCs w:val="21"/>
        </w:rPr>
        <w:t>ue estabelece a suspensão do acesso de visitantes e do credenciamento no âmbito da Câmara dos Deputados</w:t>
      </w:r>
      <w:r>
        <w:rPr>
          <w:rStyle w:val="Strong"/>
          <w:rFonts w:ascii="Verdana" w:hAnsi="Verdana"/>
          <w:color w:val="000000"/>
          <w:sz w:val="21"/>
          <w:szCs w:val="21"/>
        </w:rPr>
        <w:t> e também do APR 5/2021, </w:t>
      </w:r>
      <w:r>
        <w:rPr>
          <w:rStyle w:val="Emphasis"/>
          <w:rFonts w:ascii="Verdana" w:hAnsi="Verdana"/>
          <w:b/>
          <w:bCs/>
          <w:color w:val="000000"/>
          <w:sz w:val="21"/>
          <w:szCs w:val="21"/>
        </w:rPr>
        <w:t>que estabelece medidas de prevenção da transmissão do COVID-19 no âmbito do Senado Federal.</w:t>
      </w:r>
    </w:p>
    <w:p w14:paraId="3B43A456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Destacamos a recente aprovação na Comissão de Constituição, Justiça e Cidadania da Câmara dos Deputados, do Projeto de Lei (PL) 490/2007, que trata sobre o reconhecimento, a demarcação, o uso e a gestão de terras indígenas. O PL foi aprovado no colegiado sem a devida audiência dos representantes indígenas, conforme garantia constitucional, através da Convenção nº 169 da OIT, da qual o Brasil é signatário.</w:t>
      </w:r>
    </w:p>
    <w:p w14:paraId="2D04597A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Mais grave, na ocasião da discussão e votação do PL 490/2007 na CCJC, Lideranças Indígenas compareceram presencialmente na Câmara dos Deputados e foram violentamente impedidas de participar da discussão, inclusive com uso de armas de efeito moral contra as Lideranças.</w:t>
      </w:r>
    </w:p>
    <w:p w14:paraId="1AE955D2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Nesse sentido, vale pontuar, também, que o rápido ritmo com o qual alguns processos de grande relevância para a sociedade civil têm sido discutidos é um ponto de preocupação e que tem, em certa medida, limitado a oportunidade de discussão, proposição de emendas e aprimoramento de determinados textos. Aqui, gostaríamos de reforçar os pedidos de ampla divulgação dos textos que serão apreciados no plenário da casa, ou nas comissões, a fim de proporcionar uma devida compreensão dos riscos e vantagens das mais diversas discussões legislativas. Além da divulgação do resultado das discussões e acordos do Colégio de Líderes, assim como a transmissão de suas reuniões.</w:t>
      </w:r>
    </w:p>
    <w:p w14:paraId="048E0B1F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Adicionalmente, a proliferação de Grupos de Trabalho sobre propostas legislativas específicas e o encaminhamento do texto para plenário sem um devido tempo de discussão nas comissões de mérito é mais um processo que merece atenção para que a sociedade civil e os demais setores interessados sejam incluídos de forma adequada nos processos de tomada de decisão.</w:t>
      </w:r>
    </w:p>
    <w:p w14:paraId="584D4FB8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Destarte, com vistas à garantia de uma participação efetiva e da necessária transparência que devem orientar todos os atos do Poder Legislativo, entendemos como necessárias medidas como o aprimoramento dos canais existentes, a adoção de novas ferramentas de participação social, incluindo canais diretos de comunicação sobre os temas em votação, e de uma postura de transparência ativa da Câmara dos Deputados e do Senado Federal na ampla divulgação de seus atos e deliberações. Assim, requeremos que o Congresso Nacional implemente, em caráter de urgência, as seguintes medidas:</w:t>
      </w:r>
    </w:p>
    <w:p w14:paraId="28F82D2C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1. Autorização do acesso físico da sociedade civil, observadas as medidas sanitárias e de distanciamento e considerando o avanço da vacinação contra a Covid 19, garantindo o direito constitucional de participação social nas decisões do Congresso Nacional, conforme art. 259 e art. 184 dos Regimentos Internos da Câmara dos Deputados e Senado Federal, respectivamente.</w:t>
      </w:r>
    </w:p>
    <w:p w14:paraId="53E9B6F7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2. Substituição a fim de garantir vias de participação presencial da Portaria nº 2, de 26/02/2021, que estabelece a suspensão do acesso de visitantes e do credenciamento no âmbito da Câmara dos Deputados, e do APR 5/2021, que estabelece medidas de prevenção da transmissão da COVID-19 no âmbito do Senado Federal;</w:t>
      </w:r>
    </w:p>
    <w:p w14:paraId="481D1498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3. Maior abertura dos mandatos para o atendimento (remoto) das organizações da sociedade civil.</w:t>
      </w:r>
    </w:p>
    <w:p w14:paraId="1EABF685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4. Ampla e prévia divulgação dos temas a serem pautados, assim como relatórios das proposições, bem como os respectivos canais para participação da sociedade civil durante debates e votações;</w:t>
      </w:r>
    </w:p>
    <w:p w14:paraId="461D03FD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5. Proibição de que proposição em regime de urgência seja incluída na pauta da mesma reunião em que o requerimento de urgência foi aprovado.</w:t>
      </w:r>
    </w:p>
    <w:p w14:paraId="622ED92D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6. Incorporação de entidades cadastradas no Congresso Nacional e integrantes de Frentes Parlamentares nas plataformas utilizadas para a realização de audiências e votações, bem como em chats das plataformas adotadas para votações virtuais e afins;</w:t>
      </w:r>
    </w:p>
    <w:p w14:paraId="3A4E6C23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7. Garantia de recebimento, mediante protocolo presencial ou eletrônico, de contribuições da sociedade civil às matérias em votação às/aos parlamentares - antes e durante as deliberações virtuais - com a necessária publicização da lista de todas as organizações e respectivos conteúdos enviados;</w:t>
      </w:r>
    </w:p>
    <w:p w14:paraId="6D975DEB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8. Realização de audiências públicas virtuais sobre os projetos em discussão, garantindo-se a interação prévia entre parlamentares e setores da sociedade interessados nos temas, antes da votação;</w:t>
      </w:r>
    </w:p>
    <w:p w14:paraId="62FAED17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9. Como medida de transparência fundamental, as decisões tomadas pelo Colégio de Líderes, na Câmara e no Senado, deverão ser tornadas públicas imediatamente após a realização das respectivas reuniões; e</w:t>
      </w:r>
    </w:p>
    <w:p w14:paraId="4F667AC6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10. Garantia de votação nominal para todas as matérias apreciadas pelo Congresso Nacional, com disponibilização em dados abertos dos resultados de cada votação.</w:t>
      </w:r>
    </w:p>
    <w:p w14:paraId="2980DB97" w14:textId="77777777" w:rsidR="0028591C" w:rsidRDefault="0028591C" w:rsidP="0028591C">
      <w:pPr>
        <w:pStyle w:val="NormalWeb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11. Retorno dos trabalhos das Comissões Mistas de Medidas Provisórias, a partir da revogação do Ato Conjunto das Mesas da Câmara dos Deputados e do Senado Federal nº 1/2020, que dispõe sobre o regime de tramitação de medidas provisórias durante a pandemia.</w:t>
      </w:r>
    </w:p>
    <w:p w14:paraId="4F750BA4" w14:textId="77777777" w:rsid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14:paraId="584C7FF9" w14:textId="77777777" w:rsid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Subscrevem:</w:t>
      </w:r>
    </w:p>
    <w:p w14:paraId="35858138" w14:textId="34EFCD03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>
        <w:rPr>
          <w:rFonts w:ascii="Verdana" w:hAnsi="Verdana"/>
          <w:color w:val="000000"/>
          <w:sz w:val="21"/>
          <w:szCs w:val="21"/>
          <w:lang w:val="pt-BR"/>
        </w:rPr>
        <w:t>ABGLT</w:t>
      </w:r>
      <w:r w:rsidRPr="0028591C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Associação Brasileira de Lesbicas Gaus Bissexuais Travestis Transexuais e Intersexos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5DBB05E7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ABI (ASSOCIAÇÃO BRASILEIRA DE IMPRENSA)</w:t>
      </w:r>
    </w:p>
    <w:p w14:paraId="6ADE5079" w14:textId="42349BA5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Abong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Associação Brasileira de ONGs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6DC21ED3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Ação Educativa</w:t>
      </w:r>
    </w:p>
    <w:p w14:paraId="4B258202" w14:textId="034E7999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AJD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Associação dos Juízes para a Democracia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78F95C37" w14:textId="0D9921C5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Artigo 19 </w:t>
      </w:r>
      <w:r>
        <w:rPr>
          <w:rFonts w:ascii="Verdana" w:hAnsi="Verdana"/>
          <w:color w:val="000000"/>
          <w:sz w:val="21"/>
          <w:szCs w:val="21"/>
        </w:rPr>
        <w:t>–</w:t>
      </w:r>
      <w:r w:rsidRPr="0028591C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Brasil e América do Sul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1153B3DA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Beloyanis Monteiro</w:t>
      </w:r>
    </w:p>
    <w:p w14:paraId="53276E10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CEERT</w:t>
      </w:r>
    </w:p>
    <w:p w14:paraId="2AB63AAC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CENTRO POPULAR DE DIREITOS HUMANOS - CPDH</w:t>
      </w:r>
    </w:p>
    <w:p w14:paraId="2BF5B0AD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lastRenderedPageBreak/>
        <w:t>Conectas Direitos Humanos</w:t>
      </w:r>
    </w:p>
    <w:p w14:paraId="0B87AEAC" w14:textId="740D64AB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>
        <w:rPr>
          <w:rFonts w:ascii="Verdana" w:hAnsi="Verdana"/>
          <w:color w:val="000000"/>
          <w:sz w:val="21"/>
          <w:szCs w:val="21"/>
          <w:lang w:val="pt-BR"/>
        </w:rPr>
        <w:t>CONTRAF (</w:t>
      </w:r>
      <w:r w:rsidRPr="0028591C">
        <w:rPr>
          <w:rFonts w:ascii="Verdana" w:hAnsi="Verdana"/>
          <w:color w:val="000000"/>
          <w:sz w:val="21"/>
          <w:szCs w:val="21"/>
        </w:rPr>
        <w:t>Confederação Nacional dos Trabalhadores Rurais Agricultores e Agricultoras Familiares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6F44BD72" w14:textId="1BDE47E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CONTAG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Confederação Nacional dos Trabalhadores Rurais Agricultores e Agricultoras Familiares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3B24AAC3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CPT</w:t>
      </w:r>
    </w:p>
    <w:p w14:paraId="08B7C77F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Dado Capital</w:t>
      </w:r>
    </w:p>
    <w:p w14:paraId="0D6CFFA6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Engenheiros Sem Fronteiras - Brasil</w:t>
      </w:r>
    </w:p>
    <w:p w14:paraId="299832BC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Fórum Grita Baixada</w:t>
      </w:r>
    </w:p>
    <w:p w14:paraId="4EDF2F50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Fórum Permanente de Igualdade Racial - FOPIR</w:t>
      </w:r>
    </w:p>
    <w:p w14:paraId="6326E1CF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Fundación Avina</w:t>
      </w:r>
    </w:p>
    <w:p w14:paraId="65B1A28E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Gabinete de Assessoria Jurídica às Organizações Populares - GAJOP</w:t>
      </w:r>
    </w:p>
    <w:p w14:paraId="6AB6120D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IDEAS - Assessoria Popular</w:t>
      </w:r>
    </w:p>
    <w:p w14:paraId="65DF6F36" w14:textId="16D39795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Idec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Instituto Brasileiro de Defesa do Consumidor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47BA5970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Iniciativa Negra Por uma Nova Politica Sobre Drogas</w:t>
      </w:r>
    </w:p>
    <w:p w14:paraId="5305E9F7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Alana</w:t>
      </w:r>
    </w:p>
    <w:p w14:paraId="24ED7F20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de Defesa do Direito de Defesa - IDDD</w:t>
      </w:r>
    </w:p>
    <w:p w14:paraId="4632B2A9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de Estudos Socioeconômicos-INESC</w:t>
      </w:r>
    </w:p>
    <w:p w14:paraId="21FCD48A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Hori Educação e Cultura</w:t>
      </w:r>
    </w:p>
    <w:p w14:paraId="7B726F1F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IDhES</w:t>
      </w:r>
    </w:p>
    <w:p w14:paraId="701DF2EB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Physis</w:t>
      </w:r>
    </w:p>
    <w:p w14:paraId="47FD088C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Instituto Sou da Paz</w:t>
      </w:r>
    </w:p>
    <w:p w14:paraId="313881A4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Intervozes - Coletivo Brasil de Comunicação Social</w:t>
      </w:r>
    </w:p>
    <w:p w14:paraId="5FD22FAB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Kurytiba Metropole</w:t>
      </w:r>
    </w:p>
    <w:p w14:paraId="1D7B8AB7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lastRenderedPageBreak/>
        <w:t>Lobby Para Todos</w:t>
      </w:r>
    </w:p>
    <w:p w14:paraId="27854EEC" w14:textId="7E8D110D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MAB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Movimento dos Atingidos por Barragens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40316F4D" w14:textId="58441F91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  <w:lang w:val="pt-BR"/>
        </w:rPr>
      </w:pPr>
      <w:r w:rsidRPr="0028591C">
        <w:rPr>
          <w:rFonts w:ascii="Verdana" w:hAnsi="Verdana"/>
          <w:color w:val="000000"/>
          <w:sz w:val="21"/>
          <w:szCs w:val="21"/>
        </w:rPr>
        <w:t xml:space="preserve">MNDH </w:t>
      </w:r>
      <w:r>
        <w:rPr>
          <w:rFonts w:ascii="Verdana" w:hAnsi="Verdana"/>
          <w:color w:val="000000"/>
          <w:sz w:val="21"/>
          <w:szCs w:val="21"/>
          <w:lang w:val="pt-BR"/>
        </w:rPr>
        <w:t>(</w:t>
      </w:r>
      <w:r w:rsidRPr="0028591C">
        <w:rPr>
          <w:rFonts w:ascii="Verdana" w:hAnsi="Verdana"/>
          <w:color w:val="000000"/>
          <w:sz w:val="21"/>
          <w:szCs w:val="21"/>
        </w:rPr>
        <w:t>Movimento Nacional de Direitos Humanos</w:t>
      </w:r>
      <w:r>
        <w:rPr>
          <w:rFonts w:ascii="Verdana" w:hAnsi="Verdana"/>
          <w:color w:val="000000"/>
          <w:sz w:val="21"/>
          <w:szCs w:val="21"/>
          <w:lang w:val="pt-BR"/>
        </w:rPr>
        <w:t>)</w:t>
      </w:r>
    </w:p>
    <w:p w14:paraId="4387C652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Movimento de Reintegração das Pessoas Atingidas pela Hanseníase</w:t>
      </w:r>
    </w:p>
    <w:p w14:paraId="4AD02077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Movimento dos Trabalhadores Rurais Sem Terra - MST</w:t>
      </w:r>
    </w:p>
    <w:p w14:paraId="2D7A458E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Núcleo de Assessoria Jurídica Universitária Popular Luiza Mahin- NAJUP Luiza Mahin/UFRJ</w:t>
      </w:r>
    </w:p>
    <w:p w14:paraId="46CB27A3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Open Knowledge Brasil</w:t>
      </w:r>
    </w:p>
    <w:p w14:paraId="7ABC63E4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ponteAponte</w:t>
      </w:r>
    </w:p>
    <w:p w14:paraId="28510D34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Projeto Saude e Alegria</w:t>
      </w:r>
    </w:p>
    <w:p w14:paraId="4874429B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Rede Feminista de Juristas - deFEMde</w:t>
      </w:r>
    </w:p>
    <w:p w14:paraId="2F2C0F6C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Rede Justiça Criminal</w:t>
      </w:r>
    </w:p>
    <w:p w14:paraId="48587747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Terra de Direitos</w:t>
      </w:r>
    </w:p>
    <w:p w14:paraId="04E4BEDB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União Brasileira de Mulheres - UBM</w:t>
      </w:r>
    </w:p>
    <w:p w14:paraId="567A85CA" w14:textId="77777777" w:rsidR="0028591C" w:rsidRPr="0028591C" w:rsidRDefault="0028591C" w:rsidP="0028591C">
      <w:pPr>
        <w:pStyle w:val="NormalWeb"/>
        <w:rPr>
          <w:rFonts w:ascii="Verdana" w:hAnsi="Verdana"/>
          <w:color w:val="000000"/>
          <w:sz w:val="21"/>
          <w:szCs w:val="21"/>
        </w:rPr>
      </w:pPr>
      <w:r w:rsidRPr="0028591C">
        <w:rPr>
          <w:rFonts w:ascii="Verdana" w:hAnsi="Verdana"/>
          <w:color w:val="000000"/>
          <w:sz w:val="21"/>
          <w:szCs w:val="21"/>
        </w:rPr>
        <w:t>Unidos Contra a Corrupção</w:t>
      </w:r>
    </w:p>
    <w:p w14:paraId="5CA93875" w14:textId="356B72FF" w:rsidR="0028591C" w:rsidRDefault="0028591C" w:rsidP="0028591C">
      <w:pPr>
        <w:pStyle w:val="NormalWeb"/>
      </w:pPr>
      <w:r w:rsidRPr="0028591C">
        <w:rPr>
          <w:rFonts w:ascii="Verdana" w:hAnsi="Verdana"/>
          <w:color w:val="000000"/>
          <w:sz w:val="21"/>
          <w:szCs w:val="21"/>
        </w:rPr>
        <w:t>Zanzalab</w:t>
      </w:r>
    </w:p>
    <w:sectPr w:rsidR="0028591C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2F897" w14:textId="77777777" w:rsidR="009F3BF5" w:rsidRDefault="009F3BF5" w:rsidP="00641C7E">
      <w:r>
        <w:separator/>
      </w:r>
    </w:p>
  </w:endnote>
  <w:endnote w:type="continuationSeparator" w:id="0">
    <w:p w14:paraId="7550728D" w14:textId="77777777" w:rsidR="009F3BF5" w:rsidRDefault="009F3BF5" w:rsidP="0064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5873" w14:textId="77777777" w:rsidR="009F3BF5" w:rsidRDefault="009F3BF5" w:rsidP="00641C7E">
      <w:r>
        <w:separator/>
      </w:r>
    </w:p>
  </w:footnote>
  <w:footnote w:type="continuationSeparator" w:id="0">
    <w:p w14:paraId="38019C99" w14:textId="77777777" w:rsidR="009F3BF5" w:rsidRDefault="009F3BF5" w:rsidP="0064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C155" w14:textId="77777777" w:rsidR="00641C7E" w:rsidRPr="000854A3" w:rsidRDefault="00641C7E" w:rsidP="00641C7E">
    <w:pPr>
      <w:jc w:val="right"/>
      <w:rPr>
        <w:bCs/>
        <w:lang w:val="pt-BR"/>
      </w:rPr>
    </w:pPr>
    <w:r w:rsidRPr="00286B28">
      <w:rPr>
        <w:bCs/>
        <w:noProof/>
        <w:lang w:val="pt-BR"/>
      </w:rPr>
      <w:drawing>
        <wp:inline distT="0" distB="0" distL="0" distR="0" wp14:anchorId="3D617F58" wp14:editId="605F25EA">
          <wp:extent cx="1243568" cy="544749"/>
          <wp:effectExtent l="0" t="0" r="1270" b="190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t="1" b="50319"/>
                  <a:stretch/>
                </pic:blipFill>
                <pic:spPr bwMode="auto">
                  <a:xfrm>
                    <a:off x="0" y="0"/>
                    <a:ext cx="1287793" cy="564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86B28">
      <w:rPr>
        <w:bCs/>
        <w:noProof/>
        <w:lang w:val="pt-BR"/>
      </w:rPr>
      <w:drawing>
        <wp:inline distT="0" distB="0" distL="0" distR="0" wp14:anchorId="3D3E5EC5" wp14:editId="1CC68076">
          <wp:extent cx="1935804" cy="632449"/>
          <wp:effectExtent l="0" t="0" r="0" b="3175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 rotWithShape="1">
                  <a:blip r:embed="rId2"/>
                  <a:srcRect l="3787" r="22829" b="31926"/>
                  <a:stretch/>
                </pic:blipFill>
                <pic:spPr bwMode="auto">
                  <a:xfrm>
                    <a:off x="0" y="0"/>
                    <a:ext cx="2019422" cy="6597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C52144" w14:textId="77777777" w:rsidR="00641C7E" w:rsidRDefault="00641C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91C"/>
    <w:rsid w:val="0028591C"/>
    <w:rsid w:val="00641C7E"/>
    <w:rsid w:val="007E3A00"/>
    <w:rsid w:val="009F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488112"/>
  <w15:chartTrackingRefBased/>
  <w15:docId w15:val="{D9638918-B92F-2F4C-B481-C12C8C8D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59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8591C"/>
    <w:rPr>
      <w:b/>
      <w:bCs/>
    </w:rPr>
  </w:style>
  <w:style w:type="character" w:styleId="Emphasis">
    <w:name w:val="Emphasis"/>
    <w:basedOn w:val="DefaultParagraphFont"/>
    <w:uiPriority w:val="20"/>
    <w:qFormat/>
    <w:rsid w:val="0028591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41C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C7E"/>
  </w:style>
  <w:style w:type="paragraph" w:styleId="Footer">
    <w:name w:val="footer"/>
    <w:basedOn w:val="Normal"/>
    <w:link w:val="FooterChar"/>
    <w:uiPriority w:val="99"/>
    <w:unhideWhenUsed/>
    <w:rsid w:val="00641C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8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7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7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9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1313</Words>
  <Characters>7489</Characters>
  <Application>Microsoft Office Word</Application>
  <DocSecurity>0</DocSecurity>
  <Lines>62</Lines>
  <Paragraphs>17</Paragraphs>
  <ScaleCrop>false</ScaleCrop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Gomes</dc:creator>
  <cp:keywords/>
  <dc:description/>
  <cp:lastModifiedBy>Diego Scardone</cp:lastModifiedBy>
  <cp:revision>2</cp:revision>
  <dcterms:created xsi:type="dcterms:W3CDTF">2021-09-15T15:24:00Z</dcterms:created>
  <dcterms:modified xsi:type="dcterms:W3CDTF">2021-09-15T15:24:00Z</dcterms:modified>
</cp:coreProperties>
</file>